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20" w:rsidRDefault="001C3020" w:rsidP="001C3020">
      <w:pPr>
        <w:jc w:val="center"/>
      </w:pPr>
      <w:bookmarkStart w:id="0" w:name="_GoBack"/>
      <w:bookmarkEnd w:id="0"/>
      <w:r>
        <w:rPr>
          <w:rFonts w:ascii="Bookman Old Style" w:hAnsi="Bookman Old Style"/>
          <w:b/>
          <w:bCs/>
          <w:color w:val="C55A11"/>
          <w:sz w:val="52"/>
          <w:szCs w:val="52"/>
          <w:u w:val="single"/>
        </w:rPr>
        <w:t>Duyuru</w:t>
      </w:r>
    </w:p>
    <w:p w:rsidR="001C3020" w:rsidRDefault="001C3020" w:rsidP="001C3020">
      <w:pPr>
        <w:jc w:val="center"/>
      </w:pPr>
      <w:r>
        <w:rPr>
          <w:rFonts w:ascii="Bookman Old Style" w:hAnsi="Bookman Old Style"/>
          <w:b/>
          <w:bCs/>
          <w:color w:val="C55A11"/>
          <w:sz w:val="52"/>
          <w:szCs w:val="52"/>
          <w:u w:val="single"/>
        </w:rPr>
        <w:t>Video Konferans</w:t>
      </w:r>
    </w:p>
    <w:p w:rsidR="001C3020" w:rsidRDefault="001C3020" w:rsidP="001C3020">
      <w:pPr>
        <w:jc w:val="center"/>
      </w:pPr>
      <w:r>
        <w:rPr>
          <w:rFonts w:ascii="Bookman Old Style" w:hAnsi="Bookman Old Style"/>
          <w:color w:val="17375E"/>
        </w:rPr>
        <w:t> </w:t>
      </w:r>
    </w:p>
    <w:p w:rsidR="001C3020" w:rsidRDefault="001C3020" w:rsidP="001C3020">
      <w:pPr>
        <w:jc w:val="center"/>
      </w:pPr>
      <w:r>
        <w:rPr>
          <w:rFonts w:ascii="Bookman Old Style" w:hAnsi="Bookman Old Style"/>
          <w:b/>
          <w:bCs/>
          <w:color w:val="000000"/>
          <w:sz w:val="48"/>
          <w:szCs w:val="48"/>
        </w:rPr>
        <w:t xml:space="preserve">“Son dönem </w:t>
      </w:r>
      <w:proofErr w:type="spellStart"/>
      <w:r>
        <w:rPr>
          <w:rFonts w:ascii="Bookman Old Style" w:hAnsi="Bookman Old Style"/>
          <w:b/>
          <w:bCs/>
          <w:color w:val="000000"/>
          <w:sz w:val="48"/>
          <w:szCs w:val="48"/>
        </w:rPr>
        <w:t>ICC</w:t>
      </w:r>
      <w:proofErr w:type="spellEnd"/>
      <w:r>
        <w:rPr>
          <w:rFonts w:ascii="Bookman Old Style" w:hAnsi="Bookman Old Style"/>
          <w:b/>
          <w:bCs/>
          <w:color w:val="000000"/>
          <w:sz w:val="48"/>
          <w:szCs w:val="48"/>
        </w:rPr>
        <w:t xml:space="preserve"> Görüşleri ve Elektronik Kurallar</w:t>
      </w:r>
      <w:r>
        <w:rPr>
          <w:rFonts w:ascii="Bookman Old Style" w:hAnsi="Bookman Old Style"/>
          <w:b/>
          <w:bCs/>
          <w:sz w:val="48"/>
          <w:szCs w:val="48"/>
        </w:rPr>
        <w:t xml:space="preserve">” (2 </w:t>
      </w:r>
      <w:proofErr w:type="spellStart"/>
      <w:r>
        <w:rPr>
          <w:rFonts w:ascii="Bookman Old Style" w:hAnsi="Bookman Old Style"/>
          <w:b/>
          <w:bCs/>
          <w:sz w:val="48"/>
          <w:szCs w:val="48"/>
        </w:rPr>
        <w:t>PDUs</w:t>
      </w:r>
      <w:proofErr w:type="spellEnd"/>
      <w:r>
        <w:rPr>
          <w:rFonts w:ascii="Bookman Old Style" w:hAnsi="Bookman Old Style"/>
          <w:b/>
          <w:bCs/>
          <w:sz w:val="48"/>
          <w:szCs w:val="48"/>
        </w:rPr>
        <w:t>)</w:t>
      </w:r>
    </w:p>
    <w:p w:rsidR="001C3020" w:rsidRDefault="001C3020" w:rsidP="001C3020">
      <w:pPr>
        <w:jc w:val="center"/>
      </w:pPr>
      <w:r>
        <w:rPr>
          <w:rFonts w:ascii="Bookman Old Style" w:hAnsi="Bookman Old Style"/>
          <w:b/>
          <w:bCs/>
          <w:color w:val="000000"/>
          <w:sz w:val="32"/>
          <w:szCs w:val="32"/>
        </w:rPr>
        <w:t xml:space="preserve">15 Haziran 2020 / saat </w:t>
      </w:r>
      <w:r>
        <w:rPr>
          <w:rFonts w:ascii="Bookman Old Style" w:hAnsi="Bookman Old Style"/>
          <w:b/>
          <w:bCs/>
          <w:sz w:val="32"/>
          <w:szCs w:val="32"/>
        </w:rPr>
        <w:t>11.00 – 12.30</w:t>
      </w:r>
    </w:p>
    <w:p w:rsidR="001C3020" w:rsidRDefault="001C3020" w:rsidP="001C3020">
      <w:r>
        <w:t> </w:t>
      </w:r>
    </w:p>
    <w:p w:rsidR="001C3020" w:rsidRDefault="001C3020" w:rsidP="001C3020">
      <w:r>
        <w:rPr>
          <w:color w:val="000000"/>
          <w:sz w:val="26"/>
          <w:szCs w:val="26"/>
        </w:rPr>
        <w:t> </w:t>
      </w:r>
    </w:p>
    <w:p w:rsidR="001C3020" w:rsidRDefault="001C3020" w:rsidP="001C3020">
      <w:pPr>
        <w:spacing w:after="120"/>
      </w:pPr>
      <w:r>
        <w:rPr>
          <w:rFonts w:ascii="Bookman Old Style" w:hAnsi="Bookman Old Style"/>
          <w:b/>
          <w:bCs/>
          <w:i/>
          <w:iCs/>
          <w:color w:val="000000"/>
          <w:sz w:val="26"/>
          <w:szCs w:val="26"/>
        </w:rPr>
        <w:t>Değerli Üyelerimiz,</w:t>
      </w:r>
    </w:p>
    <w:p w:rsidR="001C3020" w:rsidRDefault="001C3020" w:rsidP="001C3020">
      <w:pPr>
        <w:spacing w:after="120"/>
      </w:pPr>
      <w:r>
        <w:rPr>
          <w:rFonts w:ascii="Bookman Old Style" w:hAnsi="Bookman Old Style"/>
          <w:color w:val="000000"/>
          <w:sz w:val="26"/>
          <w:szCs w:val="26"/>
        </w:rPr>
        <w:t xml:space="preserve">Milli Komitemiz Bankacılık </w:t>
      </w:r>
      <w:r>
        <w:rPr>
          <w:rFonts w:ascii="Bookman Old Style" w:hAnsi="Bookman Old Style"/>
          <w:sz w:val="26"/>
          <w:szCs w:val="26"/>
        </w:rPr>
        <w:t xml:space="preserve">Komisyonumuz tarafından </w:t>
      </w:r>
      <w:r>
        <w:rPr>
          <w:rFonts w:ascii="Bookman Old Style" w:hAnsi="Bookman Old Style"/>
          <w:color w:val="000000"/>
          <w:sz w:val="26"/>
          <w:szCs w:val="26"/>
          <w:u w:val="single"/>
        </w:rPr>
        <w:t>25 Haziran 2020 tarihinde 11.00 – 12.30 saatleri arasında</w:t>
      </w:r>
      <w:r>
        <w:rPr>
          <w:rFonts w:ascii="Bookman Old Style" w:hAnsi="Bookman Old Style"/>
          <w:color w:val="000000"/>
          <w:sz w:val="26"/>
          <w:szCs w:val="26"/>
        </w:rPr>
        <w:t xml:space="preserve"> “Son dönem </w:t>
      </w:r>
      <w:proofErr w:type="spellStart"/>
      <w:r>
        <w:rPr>
          <w:rFonts w:ascii="Bookman Old Style" w:hAnsi="Bookman Old Style"/>
          <w:color w:val="000000"/>
          <w:sz w:val="26"/>
          <w:szCs w:val="26"/>
        </w:rPr>
        <w:t>ICC</w:t>
      </w:r>
      <w:proofErr w:type="spellEnd"/>
      <w:r>
        <w:rPr>
          <w:rFonts w:ascii="Bookman Old Style" w:hAnsi="Bookman Old Style"/>
          <w:color w:val="000000"/>
          <w:sz w:val="26"/>
          <w:szCs w:val="26"/>
        </w:rPr>
        <w:t xml:space="preserve"> Görüşleri ve Elektronik Kurallar”</w:t>
      </w:r>
      <w:r>
        <w:rPr>
          <w:rFonts w:ascii="Bookman Old Style" w:hAnsi="Bookman Old Style"/>
          <w:b/>
          <w:bCs/>
          <w:color w:val="000000"/>
          <w:sz w:val="26"/>
          <w:szCs w:val="26"/>
        </w:rPr>
        <w:t xml:space="preserve"> </w:t>
      </w:r>
      <w:r>
        <w:rPr>
          <w:rFonts w:ascii="Bookman Old Style" w:hAnsi="Bookman Old Style"/>
          <w:color w:val="000000"/>
          <w:sz w:val="26"/>
          <w:szCs w:val="26"/>
        </w:rPr>
        <w:t>başlıklı bir video konferans gerçekleştirilecektir. Katılımcılar</w:t>
      </w:r>
      <w:r>
        <w:rPr>
          <w:rFonts w:ascii="Bookman Old Style" w:hAnsi="Bookman Old Style"/>
          <w:color w:val="1F497D"/>
          <w:sz w:val="26"/>
          <w:szCs w:val="26"/>
        </w:rPr>
        <w:t xml:space="preserve">, </w:t>
      </w:r>
      <w:r>
        <w:rPr>
          <w:rFonts w:ascii="Bookman Old Style" w:hAnsi="Bookman Old Style"/>
          <w:color w:val="000000"/>
          <w:sz w:val="26"/>
          <w:szCs w:val="26"/>
        </w:rPr>
        <w:t xml:space="preserve">2 </w:t>
      </w:r>
      <w:proofErr w:type="spellStart"/>
      <w:r>
        <w:rPr>
          <w:rFonts w:ascii="Bookman Old Style" w:hAnsi="Bookman Old Style"/>
          <w:color w:val="000000"/>
          <w:sz w:val="26"/>
          <w:szCs w:val="26"/>
        </w:rPr>
        <w:t>Pdu</w:t>
      </w:r>
      <w:proofErr w:type="spellEnd"/>
      <w:r>
        <w:rPr>
          <w:rFonts w:ascii="Bookman Old Style" w:hAnsi="Bookman Old Style"/>
          <w:color w:val="000000"/>
          <w:sz w:val="26"/>
          <w:szCs w:val="26"/>
        </w:rPr>
        <w:t xml:space="preserve"> puanı elde edebileceklerdir. Katılım ücretsizdir.</w:t>
      </w:r>
    </w:p>
    <w:p w:rsidR="001C3020" w:rsidRDefault="001C3020" w:rsidP="001C3020">
      <w:pPr>
        <w:spacing w:after="120"/>
      </w:pPr>
      <w:r>
        <w:rPr>
          <w:rFonts w:ascii="Bookman Old Style" w:hAnsi="Bookman Old Style"/>
          <w:b/>
          <w:bCs/>
          <w:sz w:val="26"/>
          <w:szCs w:val="26"/>
        </w:rPr>
        <w:t>Genel çerçevede ele alınacak konular;</w:t>
      </w:r>
    </w:p>
    <w:p w:rsidR="001C3020" w:rsidRDefault="001C3020" w:rsidP="001C3020">
      <w:pPr>
        <w:pStyle w:val="ListeParagraf"/>
        <w:numPr>
          <w:ilvl w:val="0"/>
          <w:numId w:val="1"/>
        </w:numPr>
        <w:spacing w:after="120"/>
      </w:pPr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Force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Majeure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in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ICC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Rules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and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Preventions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at a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Glance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                             </w:t>
      </w:r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</w:t>
      </w:r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15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Dk</w:t>
      </w:r>
      <w:proofErr w:type="spellEnd"/>
    </w:p>
    <w:p w:rsidR="001C3020" w:rsidRDefault="001C3020" w:rsidP="001C3020">
      <w:pPr>
        <w:pStyle w:val="ListeParagraf"/>
        <w:numPr>
          <w:ilvl w:val="0"/>
          <w:numId w:val="1"/>
        </w:numPr>
        <w:spacing w:after="120"/>
      </w:pP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Latest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ICC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Banking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Commiison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Opinions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on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Documentary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Credits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             </w:t>
      </w:r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                 </w:t>
      </w:r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75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Dk</w:t>
      </w:r>
      <w:proofErr w:type="spellEnd"/>
    </w:p>
    <w:p w:rsidR="001C3020" w:rsidRDefault="001C3020" w:rsidP="001C3020">
      <w:pPr>
        <w:pStyle w:val="ListeParagraf"/>
        <w:numPr>
          <w:ilvl w:val="0"/>
          <w:numId w:val="1"/>
        </w:numPr>
        <w:spacing w:after="120"/>
      </w:pP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eUCP</w:t>
      </w:r>
      <w:proofErr w:type="spellEnd"/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 Kural</w:t>
      </w:r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ları                   </w:t>
      </w:r>
      <w:r>
        <w:rPr>
          <w:rFonts w:ascii="Bookman Old Style" w:hAnsi="Bookman Old Style"/>
          <w:color w:val="000000"/>
          <w:sz w:val="26"/>
          <w:szCs w:val="26"/>
          <w:u w:val="single"/>
        </w:rPr>
        <w:t xml:space="preserve">30 </w:t>
      </w:r>
      <w:proofErr w:type="spellStart"/>
      <w:r>
        <w:rPr>
          <w:rFonts w:ascii="Bookman Old Style" w:hAnsi="Bookman Old Style"/>
          <w:color w:val="000000"/>
          <w:sz w:val="26"/>
          <w:szCs w:val="26"/>
          <w:u w:val="single"/>
        </w:rPr>
        <w:t>Dk</w:t>
      </w:r>
      <w:proofErr w:type="spellEnd"/>
    </w:p>
    <w:p w:rsidR="001C3020" w:rsidRDefault="001C3020" w:rsidP="001C3020">
      <w:pPr>
        <w:spacing w:after="120"/>
      </w:pPr>
      <w:r>
        <w:rPr>
          <w:rFonts w:ascii="Bookman Old Style" w:hAnsi="Bookman Old Style"/>
          <w:b/>
          <w:bCs/>
          <w:color w:val="000000"/>
          <w:sz w:val="26"/>
          <w:szCs w:val="26"/>
        </w:rPr>
        <w:t>Eğitmenler;</w:t>
      </w:r>
    </w:p>
    <w:p w:rsidR="001C3020" w:rsidRDefault="001C3020" w:rsidP="001C3020">
      <w:pPr>
        <w:pStyle w:val="ListeParagraf"/>
        <w:numPr>
          <w:ilvl w:val="0"/>
          <w:numId w:val="2"/>
        </w:numPr>
        <w:spacing w:after="120"/>
      </w:pPr>
      <w:r>
        <w:rPr>
          <w:rFonts w:ascii="Bookman Old Style" w:hAnsi="Bookman Old Style"/>
          <w:color w:val="000000"/>
          <w:sz w:val="26"/>
          <w:szCs w:val="26"/>
        </w:rPr>
        <w:t xml:space="preserve">Sn. Abdurrahman Özalp, </w:t>
      </w:r>
      <w:proofErr w:type="spellStart"/>
      <w:r>
        <w:rPr>
          <w:rFonts w:ascii="Bookman Old Style" w:hAnsi="Bookman Old Style"/>
          <w:color w:val="000000"/>
          <w:sz w:val="26"/>
          <w:szCs w:val="26"/>
        </w:rPr>
        <w:t>ICC</w:t>
      </w:r>
      <w:proofErr w:type="spellEnd"/>
      <w:r>
        <w:rPr>
          <w:rFonts w:ascii="Bookman Old Style" w:hAnsi="Bookman Old Style"/>
          <w:color w:val="000000"/>
          <w:sz w:val="26"/>
          <w:szCs w:val="26"/>
        </w:rPr>
        <w:t xml:space="preserve"> Türkiye Bankacılık Komisyonu Başkanı</w:t>
      </w:r>
    </w:p>
    <w:p w:rsidR="001C3020" w:rsidRDefault="001C3020" w:rsidP="001C3020">
      <w:pPr>
        <w:pStyle w:val="ListeParagraf"/>
        <w:numPr>
          <w:ilvl w:val="0"/>
          <w:numId w:val="2"/>
        </w:numPr>
        <w:spacing w:after="120"/>
      </w:pPr>
      <w:r>
        <w:rPr>
          <w:rFonts w:ascii="Bookman Old Style" w:hAnsi="Bookman Old Style"/>
          <w:color w:val="000000"/>
          <w:sz w:val="26"/>
          <w:szCs w:val="26"/>
        </w:rPr>
        <w:t xml:space="preserve">Sn. Özlem Deren, </w:t>
      </w:r>
      <w:proofErr w:type="spellStart"/>
      <w:r>
        <w:rPr>
          <w:rFonts w:ascii="Bookman Old Style" w:hAnsi="Bookman Old Style"/>
          <w:color w:val="000000"/>
          <w:sz w:val="26"/>
          <w:szCs w:val="26"/>
        </w:rPr>
        <w:t>ICC</w:t>
      </w:r>
      <w:proofErr w:type="spellEnd"/>
      <w:r>
        <w:rPr>
          <w:rFonts w:ascii="Bookman Old Style" w:hAnsi="Bookman Old Style"/>
          <w:color w:val="000000"/>
          <w:sz w:val="26"/>
          <w:szCs w:val="26"/>
        </w:rPr>
        <w:t xml:space="preserve"> Türkiye Bankacılık Komisyonu Üyesi</w:t>
      </w:r>
    </w:p>
    <w:p w:rsidR="001C3020" w:rsidRDefault="001C3020" w:rsidP="001C3020">
      <w:pPr>
        <w:spacing w:after="120"/>
      </w:pPr>
      <w:r>
        <w:rPr>
          <w:rFonts w:ascii="Bookman Old Style" w:hAnsi="Bookman Old Style"/>
          <w:b/>
          <w:bCs/>
          <w:sz w:val="26"/>
          <w:szCs w:val="26"/>
        </w:rPr>
        <w:t>Video konferansa kayıt için</w:t>
      </w:r>
      <w:r>
        <w:rPr>
          <w:rFonts w:ascii="Bookman Old Style" w:hAnsi="Bookman Old Style"/>
          <w:sz w:val="26"/>
          <w:szCs w:val="26"/>
        </w:rPr>
        <w:t xml:space="preserve"> </w:t>
      </w:r>
      <w:hyperlink r:id="rId5" w:history="1">
        <w:r>
          <w:rPr>
            <w:rStyle w:val="Kpr"/>
            <w:rFonts w:ascii="Bookman Old Style" w:hAnsi="Bookman Old Style"/>
            <w:sz w:val="26"/>
            <w:szCs w:val="26"/>
          </w:rPr>
          <w:t>lütfen tıklayınız</w:t>
        </w:r>
      </w:hyperlink>
      <w:r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color w:val="000000"/>
          <w:sz w:val="26"/>
          <w:szCs w:val="26"/>
        </w:rPr>
        <w:t xml:space="preserve"> </w:t>
      </w:r>
    </w:p>
    <w:p w:rsidR="001C3020" w:rsidRDefault="001C3020" w:rsidP="001C3020">
      <w:pPr>
        <w:spacing w:after="120"/>
      </w:pPr>
      <w:r>
        <w:rPr>
          <w:rFonts w:ascii="Bookman Old Style" w:hAnsi="Bookman Old Style"/>
          <w:sz w:val="26"/>
          <w:szCs w:val="26"/>
        </w:rPr>
        <w:t xml:space="preserve">Sağlıklı günler diliyoruz. </w:t>
      </w:r>
    </w:p>
    <w:p w:rsidR="001C3020" w:rsidRDefault="001C3020" w:rsidP="001C3020">
      <w:pPr>
        <w:spacing w:after="120"/>
      </w:pPr>
      <w:r>
        <w:rPr>
          <w:rFonts w:ascii="Bookman Old Style" w:hAnsi="Bookman Old Style"/>
          <w:sz w:val="26"/>
          <w:szCs w:val="26"/>
        </w:rPr>
        <w:t>Saygılarımızla,</w:t>
      </w:r>
    </w:p>
    <w:p w:rsidR="001C3020" w:rsidRDefault="001C3020" w:rsidP="001C3020">
      <w:r>
        <w:rPr>
          <w:color w:val="1F497D"/>
          <w:lang w:val="en-US"/>
        </w:rPr>
        <w:t> </w:t>
      </w:r>
    </w:p>
    <w:p w:rsidR="001C3020" w:rsidRDefault="001C3020" w:rsidP="001C3020">
      <w:r>
        <w:rPr>
          <w:color w:val="1F497D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>MILLETLERARASI</w:t>
      </w:r>
      <w:proofErr w:type="spellEnd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>TICARET</w:t>
      </w:r>
      <w:proofErr w:type="spellEnd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>ODASI</w:t>
      </w:r>
      <w:proofErr w:type="spellEnd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 xml:space="preserve"> (ICC) </w:t>
      </w:r>
      <w:proofErr w:type="spellStart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>TÜRKIYE</w:t>
      </w:r>
      <w:proofErr w:type="spellEnd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>MILLI</w:t>
      </w:r>
      <w:proofErr w:type="spellEnd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595959"/>
          <w:sz w:val="24"/>
          <w:szCs w:val="24"/>
          <w:lang w:val="en-GB"/>
        </w:rPr>
        <w:t>KOMITESI</w:t>
      </w:r>
      <w:proofErr w:type="spellEnd"/>
    </w:p>
    <w:p w:rsidR="001C3020" w:rsidRDefault="001C3020" w:rsidP="001C3020">
      <w:proofErr w:type="spellStart"/>
      <w:r>
        <w:rPr>
          <w:rFonts w:ascii="Arial" w:hAnsi="Arial" w:cs="Arial"/>
          <w:color w:val="595959"/>
          <w:sz w:val="20"/>
          <w:szCs w:val="20"/>
          <w:lang w:val="fr-FR"/>
        </w:rPr>
        <w:t>Dumlupınar</w:t>
      </w:r>
      <w:proofErr w:type="spellEnd"/>
      <w:r>
        <w:rPr>
          <w:rFonts w:ascii="Arial" w:hAnsi="Arial" w:cs="Arial"/>
          <w:color w:val="595959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595959"/>
          <w:sz w:val="20"/>
          <w:szCs w:val="20"/>
          <w:lang w:val="fr-FR"/>
        </w:rPr>
        <w:t>Bulvarı</w:t>
      </w:r>
      <w:proofErr w:type="spellEnd"/>
      <w:r>
        <w:rPr>
          <w:rFonts w:ascii="Arial" w:hAnsi="Arial" w:cs="Arial"/>
          <w:color w:val="595959"/>
          <w:sz w:val="20"/>
          <w:szCs w:val="20"/>
          <w:lang w:val="fr-FR"/>
        </w:rPr>
        <w:t xml:space="preserve"> No: 252 (Eskişehir </w:t>
      </w:r>
      <w:proofErr w:type="spellStart"/>
      <w:r>
        <w:rPr>
          <w:rFonts w:ascii="Arial" w:hAnsi="Arial" w:cs="Arial"/>
          <w:color w:val="595959"/>
          <w:sz w:val="20"/>
          <w:szCs w:val="20"/>
          <w:lang w:val="fr-FR"/>
        </w:rPr>
        <w:t>Yolu</w:t>
      </w:r>
      <w:proofErr w:type="spellEnd"/>
      <w:r>
        <w:rPr>
          <w:rFonts w:ascii="Arial" w:hAnsi="Arial" w:cs="Arial"/>
          <w:color w:val="595959"/>
          <w:sz w:val="20"/>
          <w:szCs w:val="20"/>
          <w:lang w:val="fr-FR"/>
        </w:rPr>
        <w:t xml:space="preserve"> 9.Km) </w:t>
      </w:r>
    </w:p>
    <w:p w:rsidR="001C3020" w:rsidRDefault="001C3020" w:rsidP="001C3020">
      <w:r>
        <w:rPr>
          <w:rFonts w:ascii="Arial" w:hAnsi="Arial" w:cs="Arial"/>
          <w:color w:val="595959"/>
          <w:sz w:val="20"/>
          <w:szCs w:val="20"/>
          <w:lang w:val="fr-FR"/>
        </w:rPr>
        <w:t>06530 ANKARA</w:t>
      </w:r>
    </w:p>
    <w:p w:rsidR="001C3020" w:rsidRDefault="001C3020" w:rsidP="001C3020">
      <w:r>
        <w:rPr>
          <w:rFonts w:ascii="Arial" w:hAnsi="Arial" w:cs="Arial"/>
          <w:color w:val="595959"/>
          <w:sz w:val="20"/>
          <w:szCs w:val="20"/>
          <w:lang w:val="fr-FR"/>
        </w:rPr>
        <w:t> </w:t>
      </w:r>
    </w:p>
    <w:p w:rsidR="001C3020" w:rsidRDefault="001C3020" w:rsidP="001C3020">
      <w:r>
        <w:rPr>
          <w:rFonts w:ascii="Arial" w:hAnsi="Arial" w:cs="Arial"/>
          <w:color w:val="595959"/>
          <w:sz w:val="20"/>
          <w:szCs w:val="20"/>
          <w:lang w:val="fr-FR"/>
        </w:rPr>
        <w:t>Tel: +90 312 219 4254 (55-57)</w:t>
      </w:r>
    </w:p>
    <w:p w:rsidR="001C3020" w:rsidRDefault="001C3020" w:rsidP="001C3020">
      <w:proofErr w:type="spellStart"/>
      <w:r>
        <w:rPr>
          <w:rFonts w:ascii="Arial" w:hAnsi="Arial" w:cs="Arial"/>
          <w:color w:val="595959"/>
          <w:sz w:val="20"/>
          <w:szCs w:val="20"/>
          <w:lang w:val="fr-FR"/>
        </w:rPr>
        <w:t>Faks</w:t>
      </w:r>
      <w:proofErr w:type="spellEnd"/>
      <w:r>
        <w:rPr>
          <w:rFonts w:ascii="Arial" w:hAnsi="Arial" w:cs="Arial"/>
          <w:color w:val="595959"/>
          <w:sz w:val="20"/>
          <w:szCs w:val="20"/>
          <w:lang w:val="fr-FR"/>
        </w:rPr>
        <w:t>: +90 312 219 4258</w:t>
      </w:r>
    </w:p>
    <w:p w:rsidR="001C3020" w:rsidRDefault="001C3020" w:rsidP="001C3020">
      <w:r>
        <w:rPr>
          <w:rFonts w:ascii="Arial" w:hAnsi="Arial" w:cs="Arial"/>
          <w:b/>
          <w:bCs/>
          <w:color w:val="595959"/>
          <w:sz w:val="20"/>
          <w:szCs w:val="20"/>
        </w:rPr>
        <w:t>E-posta: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hyperlink r:id="rId6" w:history="1">
        <w:r>
          <w:rPr>
            <w:rStyle w:val="Kpr"/>
            <w:rFonts w:ascii="Arial" w:hAnsi="Arial" w:cs="Arial"/>
            <w:sz w:val="20"/>
            <w:szCs w:val="20"/>
          </w:rPr>
          <w:t>icc-tr@tobb.org.tr</w:t>
        </w:r>
      </w:hyperlink>
      <w:r>
        <w:rPr>
          <w:rFonts w:ascii="Arial" w:hAnsi="Arial" w:cs="Arial"/>
          <w:color w:val="595959"/>
          <w:sz w:val="20"/>
          <w:szCs w:val="20"/>
        </w:rPr>
        <w:t xml:space="preserve">  l </w:t>
      </w:r>
      <w:r>
        <w:rPr>
          <w:rFonts w:ascii="Arial" w:hAnsi="Arial" w:cs="Arial"/>
          <w:b/>
          <w:bCs/>
          <w:color w:val="595959"/>
          <w:sz w:val="20"/>
          <w:szCs w:val="20"/>
        </w:rPr>
        <w:t>Web</w:t>
      </w:r>
      <w:r>
        <w:rPr>
          <w:rFonts w:ascii="Arial" w:hAnsi="Arial" w:cs="Arial"/>
          <w:color w:val="595959"/>
          <w:sz w:val="20"/>
          <w:szCs w:val="20"/>
        </w:rPr>
        <w:t xml:space="preserve">: </w:t>
      </w:r>
      <w:hyperlink r:id="rId7" w:history="1">
        <w:r>
          <w:rPr>
            <w:rStyle w:val="Kpr"/>
            <w:rFonts w:ascii="Arial" w:hAnsi="Arial" w:cs="Arial"/>
            <w:sz w:val="20"/>
            <w:szCs w:val="20"/>
          </w:rPr>
          <w:t>http://icc.tobb.org.tr</w:t>
        </w:r>
      </w:hyperlink>
    </w:p>
    <w:p w:rsidR="001C3020" w:rsidRDefault="001C3020" w:rsidP="001C3020">
      <w:r>
        <w:rPr>
          <w:rFonts w:ascii="Arial" w:hAnsi="Arial" w:cs="Arial"/>
          <w:color w:val="595959"/>
          <w:sz w:val="16"/>
          <w:szCs w:val="16"/>
          <w:lang w:val="fr-FR"/>
        </w:rPr>
        <w:t> </w:t>
      </w:r>
    </w:p>
    <w:p w:rsidR="0009731A" w:rsidRDefault="001C3020">
      <w:r>
        <w:rPr>
          <w:lang w:val="en-US"/>
        </w:rPr>
        <w:t> </w:t>
      </w:r>
      <w:r>
        <w:rPr>
          <w:noProof/>
          <w:lang w:eastAsia="tr-TR"/>
        </w:rPr>
        <w:drawing>
          <wp:inline distT="0" distB="0" distL="0" distR="0">
            <wp:extent cx="1628775" cy="600075"/>
            <wp:effectExtent l="0" t="0" r="9525" b="9525"/>
            <wp:docPr id="1" name="Resim 1" descr="cid:image004.png@01CFE3E5.51449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4.png@01CFE3E5.514499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958C8"/>
    <w:multiLevelType w:val="hybridMultilevel"/>
    <w:tmpl w:val="53D6C736"/>
    <w:lvl w:ilvl="0" w:tplc="DDAED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013E7"/>
    <w:multiLevelType w:val="hybridMultilevel"/>
    <w:tmpl w:val="E28A7096"/>
    <w:lvl w:ilvl="0" w:tplc="DDAED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20"/>
    <w:rsid w:val="0009731A"/>
    <w:rsid w:val="001C3020"/>
    <w:rsid w:val="003372F0"/>
    <w:rsid w:val="008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40A74-D011-433B-8B3D-B002EAAB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2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302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C3020"/>
    <w:pPr>
      <w:ind w:left="720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cc.tob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c-tr@tobb.org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ketor.tobb.org.tr/Default.aspx?aid=11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6487C.5882F3D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Nilay Şahin</cp:lastModifiedBy>
  <cp:revision>1</cp:revision>
  <dcterms:created xsi:type="dcterms:W3CDTF">2020-06-22T08:20:00Z</dcterms:created>
  <dcterms:modified xsi:type="dcterms:W3CDTF">2020-06-22T08:22:00Z</dcterms:modified>
</cp:coreProperties>
</file>