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19.12.2018 tarihli ve 30630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yayınlanan </w:t>
      </w:r>
      <w:r>
        <w:rPr>
          <w:rFonts w:ascii="Times New Roman" w:hAnsi="Times New Roman"/>
          <w:b/>
          <w:bCs/>
          <w:sz w:val="24"/>
          <w:szCs w:val="24"/>
        </w:rPr>
        <w:t>7155 sayılı Abonelik Sözleşmesinden Kaynaklanan Para Alacaklarına İlişkin Takibin Başlatılması Usulü Hakkında Kanun</w:t>
      </w:r>
      <w:r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b/>
          <w:bCs/>
          <w:sz w:val="24"/>
          <w:szCs w:val="24"/>
        </w:rPr>
        <w:t>Kanun”)</w:t>
      </w:r>
      <w:r>
        <w:rPr>
          <w:rFonts w:ascii="Times New Roman" w:hAnsi="Times New Roman"/>
          <w:sz w:val="24"/>
          <w:szCs w:val="24"/>
        </w:rPr>
        <w:t xml:space="preserve"> her ne kadar Tüketicinin Korunması Hakkında Kanunda ve diğer mevzuatta düzenlenen abonelik sözleşmelerine özel bir Kanun olarak düzenlenmiş ise de;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Kanunu’un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içinde yer alan ek maddeler ile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asıl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6102 sayılı Türk Ticaret Kanun’a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(“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TTK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”) önemli bir değişiklik getirilmiştir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değişiklik ile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ticari davalarda arabuluculuk faaliyeti bir dava şartı olarak olarak zorunlu kılınmış </w:t>
      </w:r>
      <w:r>
        <w:rPr>
          <w:rFonts w:ascii="Times New Roman" w:hAnsi="Times New Roman"/>
          <w:sz w:val="24"/>
          <w:szCs w:val="24"/>
        </w:rPr>
        <w:t xml:space="preserve">olup, maddenin yürürlük tarihi olan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01.01.2019’dan itibaren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açılacak olan bütün ticari davalar için bu dava şartının yerine getirilmesi gerekecektir</w:t>
      </w:r>
      <w:r>
        <w:rPr>
          <w:rFonts w:ascii="Times New Roman" w:hAnsi="Times New Roman"/>
          <w:sz w:val="24"/>
          <w:szCs w:val="24"/>
        </w:rPr>
        <w:t>.</w:t>
      </w:r>
    </w:p>
    <w:p w:rsidR="00FF1EA8" w:rsidRDefault="00FF1EA8" w:rsidP="00FF1EA8">
      <w:pPr>
        <w:pStyle w:val="ListeParagraf"/>
        <w:numPr>
          <w:ilvl w:val="0"/>
          <w:numId w:val="1"/>
        </w:numPr>
        <w:spacing w:before="120" w:after="120" w:line="320" w:lineRule="atLeast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Yeni Kanun ile 6102 sayılı Türk Ticaret Kanununa Getirilen Yenilikler: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TTK’da</w:t>
      </w:r>
      <w:proofErr w:type="spellEnd"/>
      <w:r>
        <w:rPr>
          <w:rFonts w:ascii="Times New Roman" w:hAnsi="Times New Roman"/>
          <w:sz w:val="24"/>
          <w:szCs w:val="24"/>
        </w:rPr>
        <w:t xml:space="preserve"> getirilen yeniliğin </w:t>
      </w:r>
      <w:r>
        <w:rPr>
          <w:rFonts w:ascii="Times New Roman" w:hAnsi="Times New Roman"/>
          <w:b/>
          <w:bCs/>
          <w:sz w:val="24"/>
          <w:szCs w:val="24"/>
        </w:rPr>
        <w:t xml:space="preserve">yürürlük tarihi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01.01.2019 tarihi olarak belirlenmiştir</w:t>
      </w:r>
      <w:r>
        <w:rPr>
          <w:rFonts w:ascii="Times New Roman" w:hAnsi="Times New Roman"/>
          <w:sz w:val="24"/>
          <w:szCs w:val="24"/>
        </w:rPr>
        <w:t xml:space="preserve">. Böylelikle, 01.01.2019 tarihinden itibaren mahkemeler nezdinde açılacak olan </w:t>
      </w:r>
      <w:r>
        <w:rPr>
          <w:rFonts w:ascii="Times New Roman" w:hAnsi="Times New Roman"/>
          <w:sz w:val="24"/>
          <w:szCs w:val="24"/>
          <w:u w:val="single"/>
        </w:rPr>
        <w:t>bütün ticari davalarda</w:t>
      </w:r>
      <w:r>
        <w:rPr>
          <w:rFonts w:ascii="Times New Roman" w:hAnsi="Times New Roman"/>
          <w:sz w:val="24"/>
          <w:szCs w:val="24"/>
        </w:rPr>
        <w:t xml:space="preserve"> öncelikle arabulucuya başvurulması zorunlu olup, arabulucuya başvurulmaksızın doğrudan dava açıldığı takdirde dava usulden reddedilecektir.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Arabulucuya başvurulması zorunlu olan ticari davaların konusu ise aşağıdaki şekilde belirlenmiştir:</w:t>
      </w:r>
    </w:p>
    <w:p w:rsidR="00FF1EA8" w:rsidRDefault="00FF1EA8" w:rsidP="00FF1EA8">
      <w:pPr>
        <w:pStyle w:val="ListeParagraf"/>
        <w:numPr>
          <w:ilvl w:val="0"/>
          <w:numId w:val="2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Konusu bir miktar paranın ödenmesi olan alacak davaları ile</w:t>
      </w:r>
    </w:p>
    <w:p w:rsidR="00FF1EA8" w:rsidRDefault="00FF1EA8" w:rsidP="00FF1EA8">
      <w:pPr>
        <w:pStyle w:val="ListeParagraf"/>
        <w:numPr>
          <w:ilvl w:val="0"/>
          <w:numId w:val="2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Tazminat talepleri hakkındaki davalar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şart için dava konusu olan değere bir parasal sınır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getirilmemiş</w:t>
      </w:r>
      <w:r>
        <w:rPr>
          <w:rFonts w:ascii="Times New Roman" w:hAnsi="Times New Roman"/>
          <w:sz w:val="24"/>
          <w:szCs w:val="24"/>
        </w:rPr>
        <w:t xml:space="preserve"> olup, miktarına bakılmaksızın her türlü ticari davada bu şart geçerli olacaktır.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Belirli bir bedele ilişkin olmayan davalarda ise </w:t>
      </w:r>
      <w:proofErr w:type="spellStart"/>
      <w:r>
        <w:rPr>
          <w:rFonts w:ascii="Times New Roman" w:hAnsi="Times New Roman"/>
          <w:sz w:val="24"/>
          <w:szCs w:val="24"/>
        </w:rPr>
        <w:t>arabulucuk</w:t>
      </w:r>
      <w:proofErr w:type="spellEnd"/>
      <w:r>
        <w:rPr>
          <w:rFonts w:ascii="Times New Roman" w:hAnsi="Times New Roman"/>
          <w:sz w:val="24"/>
          <w:szCs w:val="24"/>
        </w:rPr>
        <w:t xml:space="preserve"> yoluna başvurma zorunluluğu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bulunmamaktadır</w:t>
      </w:r>
      <w:r>
        <w:rPr>
          <w:rFonts w:ascii="Times New Roman" w:hAnsi="Times New Roman"/>
          <w:sz w:val="24"/>
          <w:szCs w:val="24"/>
        </w:rPr>
        <w:t>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Ticari Davalardan Anlaşılması Gereken Davalar:</w:t>
      </w:r>
    </w:p>
    <w:p w:rsidR="00FF1EA8" w:rsidRDefault="00FF1EA8" w:rsidP="00FF1EA8">
      <w:pPr>
        <w:pStyle w:val="ListeParagraf"/>
        <w:numPr>
          <w:ilvl w:val="0"/>
          <w:numId w:val="3"/>
        </w:numPr>
        <w:spacing w:before="120" w:after="12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Ticari davalar TTK Madde 4’te düzenlenmekte olup, uyuşmazlık tarafların ticari işletmesinden/şirketinden kaynaklanıyorsa (yani her iki taraf da tacirse) bu tür uyuşmazlıklar ticari dava olarak kabul edilmektedir.</w:t>
      </w:r>
    </w:p>
    <w:p w:rsidR="00FF1EA8" w:rsidRDefault="00FF1EA8" w:rsidP="00FF1EA8">
      <w:pPr>
        <w:pStyle w:val="ListeParagraf"/>
        <w:numPr>
          <w:ilvl w:val="0"/>
          <w:numId w:val="3"/>
        </w:numPr>
        <w:spacing w:before="120" w:after="12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belirtilen davalar ise, uyuşmazlığın taraflarının tacir olup olmadığına bakılmaksızın, konusu itibariyle ticari dava olarak kabul edilmektedir:</w:t>
      </w:r>
    </w:p>
    <w:p w:rsidR="00FF1EA8" w:rsidRDefault="00FF1EA8" w:rsidP="00FF1EA8">
      <w:pPr>
        <w:pStyle w:val="ListeParagraf"/>
        <w:numPr>
          <w:ilvl w:val="0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 Ticaret Kanunu’nda düzenlenen uyuşmazlık konuları: 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Ticari işletme, Ortaklıklar,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Kıymetli Evrak  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Taşıma Sözleşmeleri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Deniz Ticareti,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Sigorta</w:t>
      </w:r>
    </w:p>
    <w:p w:rsidR="00FF1EA8" w:rsidRDefault="00FF1EA8" w:rsidP="00FF1EA8">
      <w:pPr>
        <w:pStyle w:val="ListeParagraf"/>
        <w:spacing w:before="120" w:after="120" w:line="32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FF1EA8" w:rsidRDefault="00FF1EA8" w:rsidP="00FF1EA8">
      <w:pPr>
        <w:pStyle w:val="ListeParagraf"/>
        <w:numPr>
          <w:ilvl w:val="0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 Borçlar Kanunu’nda düzenlenen uyuşmazlık konuları: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Malvarlığı veya işletmenin devralınması, işletmelerin birleşmesi ve şekil değiştirmesine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202 ve 203,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Rekabet yasağına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444 ve 447,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Yayın Sözleşmelerine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487 ile 501 </w:t>
      </w:r>
      <w:proofErr w:type="gramStart"/>
      <w:r>
        <w:rPr>
          <w:rFonts w:ascii="Times New Roman" w:hAnsi="Times New Roman"/>
          <w:sz w:val="24"/>
          <w:szCs w:val="24"/>
        </w:rPr>
        <w:t>aralığı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Kredi mektubu ve kredi emrine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515 ile 519 </w:t>
      </w:r>
      <w:proofErr w:type="gramStart"/>
      <w:r>
        <w:rPr>
          <w:rFonts w:ascii="Times New Roman" w:hAnsi="Times New Roman"/>
          <w:sz w:val="24"/>
          <w:szCs w:val="24"/>
        </w:rPr>
        <w:t>aralığı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Komisyon sözleşmesine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532 ile 545 </w:t>
      </w:r>
      <w:proofErr w:type="gramStart"/>
      <w:r>
        <w:rPr>
          <w:rFonts w:ascii="Times New Roman" w:hAnsi="Times New Roman"/>
          <w:sz w:val="24"/>
          <w:szCs w:val="24"/>
        </w:rPr>
        <w:t>aralığı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Ticari temsilciler, ticari vekiller ve diğer tacir yardımcılarına ilişkin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547 ile 554 </w:t>
      </w:r>
      <w:proofErr w:type="gramStart"/>
      <w:r>
        <w:rPr>
          <w:rFonts w:ascii="Times New Roman" w:hAnsi="Times New Roman"/>
          <w:sz w:val="24"/>
          <w:szCs w:val="24"/>
        </w:rPr>
        <w:t>aralığı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Havale hakkındaki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555 ile 560 </w:t>
      </w:r>
      <w:proofErr w:type="gramStart"/>
      <w:r>
        <w:rPr>
          <w:rFonts w:ascii="Times New Roman" w:hAnsi="Times New Roman"/>
          <w:sz w:val="24"/>
          <w:szCs w:val="24"/>
        </w:rPr>
        <w:t>aralığı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F1EA8" w:rsidRDefault="00FF1EA8" w:rsidP="00FF1EA8">
      <w:pPr>
        <w:pStyle w:val="ListeParagraf"/>
        <w:numPr>
          <w:ilvl w:val="1"/>
          <w:numId w:val="4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Saklama sözleşmelerine dair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Madde 561 ile 580 </w:t>
      </w:r>
      <w:proofErr w:type="gramStart"/>
      <w:r>
        <w:rPr>
          <w:rFonts w:ascii="Times New Roman" w:hAnsi="Times New Roman"/>
          <w:sz w:val="24"/>
          <w:szCs w:val="24"/>
        </w:rPr>
        <w:t>aralığı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F1EA8" w:rsidRDefault="00FF1EA8" w:rsidP="00FF1EA8">
      <w:pPr>
        <w:pStyle w:val="ListeParagraf"/>
        <w:spacing w:before="120" w:after="120" w:line="32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FF1EA8" w:rsidRDefault="00FF1EA8" w:rsidP="00FF1EA8">
      <w:pPr>
        <w:pStyle w:val="ListeParagraf"/>
        <w:numPr>
          <w:ilvl w:val="0"/>
          <w:numId w:val="5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Fikrî mülkiyet hukukuna dair mevzuatta düzenlenen konular hakkındaki davalar </w:t>
      </w:r>
      <w:r>
        <w:rPr>
          <w:rFonts w:ascii="Times New Roman" w:hAnsi="Times New Roman"/>
          <w:i/>
          <w:iCs/>
          <w:sz w:val="24"/>
          <w:szCs w:val="24"/>
        </w:rPr>
        <w:t>(Marka, Patent, Endüstriyel Tasarım, Fikir ve Sanat Eserleri Kanunundan doğan ihtilaflar, lisans sözleşmeleri, devir sözleşmeleri gibi)</w:t>
      </w:r>
    </w:p>
    <w:p w:rsidR="00FF1EA8" w:rsidRDefault="00FF1EA8" w:rsidP="00FF1EA8">
      <w:pPr>
        <w:pStyle w:val="ListeParagraf"/>
        <w:numPr>
          <w:ilvl w:val="0"/>
          <w:numId w:val="5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Borsa, sergi, panayır ve pazarlar; antrepo ve ticarete özgü diğer yerler hakkındaki özel hükümlerde düzenlenen konular hakkındaki davalar,</w:t>
      </w:r>
    </w:p>
    <w:p w:rsidR="00FF1EA8" w:rsidRDefault="00FF1EA8" w:rsidP="00FF1EA8">
      <w:pPr>
        <w:pStyle w:val="ListeParagraf"/>
        <w:numPr>
          <w:ilvl w:val="0"/>
          <w:numId w:val="5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Bankalara, diğer kredi kuruluşlarına, finansal kurumlara ve ödünç para verme işlerine dair yasal düzenlemelerde yer alan konular hakkındaki davalar.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Ticari Dava Sayılmayan Durumlar: 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Herhangi bir ticari işletme-tacir ile ilgili olmayan (i) havale, (ii) vedia ve (iii) fikir ve sanat eserlerine ilişkin haklardan doğan davalar ise ticari dava olarak kabul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edilmemektedir</w:t>
      </w:r>
      <w:r>
        <w:rPr>
          <w:rFonts w:ascii="Times New Roman" w:hAnsi="Times New Roman"/>
          <w:sz w:val="24"/>
          <w:szCs w:val="24"/>
        </w:rPr>
        <w:t>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Örneğin, çalışanları tarafından geliştirilen bir yazılımın fikri haklarının şirkete devredilmesi halinde, bu yazılımdaki hakların ihlali şirketin ticari işletmesini ilgilendiren bir husus olduğu için, bundan doğan uyuşmazlık ticari dava olarak kabul edilecektir.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Ancak, bir öğretim görevlisinin kar elde etmediği ve ticari amaçla kullanılmayan, yalnızca akademik çalışmalar kapsamında geliştirdiği bir yazılımın haklarının ihlali halinde bu konu hakkındaki dava ticari dava olmayacaktır.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FF1EA8" w:rsidRDefault="00FF1EA8" w:rsidP="00FF1EA8">
      <w:pPr>
        <w:pStyle w:val="ListeParagraf"/>
        <w:numPr>
          <w:ilvl w:val="0"/>
          <w:numId w:val="1"/>
        </w:numPr>
        <w:spacing w:before="120" w:after="120" w:line="320" w:lineRule="atLeast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Yeni Kanun ile 6325 sayılı Hukuk Uyuşmazlıklarında Arabuluculuk </w:t>
      </w:r>
      <w:proofErr w:type="spellStart"/>
      <w:r>
        <w:rPr>
          <w:rFonts w:ascii="Times New Roman" w:hAnsi="Times New Roman"/>
          <w:b/>
          <w:bCs/>
          <w:color w:val="C00000"/>
          <w:sz w:val="24"/>
          <w:szCs w:val="24"/>
        </w:rPr>
        <w:t>Kanunu’a</w:t>
      </w:r>
      <w:proofErr w:type="spellEnd"/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(“Arabuluculuk Kanunu”) getirilen Yenilikler:</w:t>
      </w:r>
    </w:p>
    <w:p w:rsidR="00FF1EA8" w:rsidRDefault="00FF1EA8" w:rsidP="00FF1EA8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Arabuluculuğun dava şartı olarak zorunlu hale getirildiği davalarda, bu sürecin nasıl işleyeceğine dair düzenlemeler 6325 Sayılı Kanunu’na eklenmiş olup, </w:t>
      </w:r>
      <w:proofErr w:type="spellStart"/>
      <w:r>
        <w:rPr>
          <w:rFonts w:ascii="Times New Roman" w:hAnsi="Times New Roman"/>
          <w:sz w:val="24"/>
          <w:szCs w:val="24"/>
        </w:rPr>
        <w:t>arabulucuk</w:t>
      </w:r>
      <w:proofErr w:type="spellEnd"/>
      <w:r>
        <w:rPr>
          <w:rFonts w:ascii="Times New Roman" w:hAnsi="Times New Roman"/>
          <w:sz w:val="24"/>
          <w:szCs w:val="24"/>
        </w:rPr>
        <w:t xml:space="preserve"> süreci hakkında getirilen başlıca düzenlemeler aşağıda sayılmıştır.</w:t>
      </w:r>
    </w:p>
    <w:p w:rsidR="00FF1EA8" w:rsidRDefault="00FF1EA8" w:rsidP="00FF1EA8">
      <w:pPr>
        <w:pStyle w:val="ListeParagraf"/>
        <w:numPr>
          <w:ilvl w:val="0"/>
          <w:numId w:val="6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Arabulucu, görevlendirildiği tarihten itibaren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altı hafta içinde</w:t>
      </w:r>
      <w:r>
        <w:rPr>
          <w:rFonts w:ascii="Times New Roman" w:hAnsi="Times New Roman"/>
          <w:sz w:val="24"/>
          <w:szCs w:val="24"/>
        </w:rPr>
        <w:t xml:space="preserve"> başvuruyu sonuçlandıracak olup, bu süre, arabulucu tarafından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en fazla iki hafta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uzatılabilicektir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Yani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arabulucuk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süreci en fazla sekiz hafta içinde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neticelerndirilebilecektir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F1EA8" w:rsidRDefault="00FF1EA8" w:rsidP="00FF1EA8">
      <w:pPr>
        <w:pStyle w:val="ListeParagraf"/>
        <w:numPr>
          <w:ilvl w:val="0"/>
          <w:numId w:val="6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lastRenderedPageBreak/>
        <w:t>Arabulculuk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sürecinde, taraflardan birinin geçerli bir mazereti olmadan ilk toplantıya katılmaması sebebiyle arabuluculuk faaliyetinin sona ererse; </w:t>
      </w:r>
      <w:r>
        <w:rPr>
          <w:rFonts w:ascii="Times New Roman" w:hAnsi="Times New Roman"/>
          <w:sz w:val="24"/>
          <w:szCs w:val="24"/>
        </w:rPr>
        <w:t xml:space="preserve">toplantıya katılmayan taraf son tutanakta belirtilmekte ve bu taraf sonradan açılan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davada kısmen veya tamamen haklı çıksa bile yargılama giderlerinin tamamından sorumlu tutulmaktadır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Ayrıca, davayı kazansa bile,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ilk toplantıya katılmayan taraf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lehine vekâlet ücretine de hükmedilmemektedir.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1EA8" w:rsidRDefault="00FF1EA8" w:rsidP="00FF1EA8">
      <w:pPr>
        <w:pStyle w:val="ListeParagraf"/>
        <w:numPr>
          <w:ilvl w:val="0"/>
          <w:numId w:val="6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Her iki tarafın da ilk toplantıya katılmaması sebebiyle sona eren</w:t>
      </w:r>
      <w:r>
        <w:rPr>
          <w:rFonts w:ascii="Times New Roman" w:hAnsi="Times New Roman"/>
          <w:sz w:val="24"/>
          <w:szCs w:val="24"/>
        </w:rPr>
        <w:t xml:space="preserve"> arabuluculuk faaliyeti üzerine açılacak davalarda ise her bir taraf kendi yaptığı </w:t>
      </w:r>
      <w:r>
        <w:rPr>
          <w:rFonts w:ascii="Times New Roman" w:hAnsi="Times New Roman"/>
          <w:sz w:val="24"/>
          <w:szCs w:val="24"/>
          <w:u w:val="single"/>
        </w:rPr>
        <w:t>yargılama giderlerini karşılamak durumundadır (yani yargılama giderleri davayı kaybedene yükletilmiyor, her iki taraf da arabuluculuk sürecine katılmadıkları için dava sürecinde yaptıkları yargılama giderlerine kendi katlanmak zorunda kalıyor)</w:t>
      </w:r>
      <w:r>
        <w:rPr>
          <w:rFonts w:ascii="Times New Roman" w:hAnsi="Times New Roman"/>
          <w:sz w:val="24"/>
          <w:szCs w:val="24"/>
        </w:rPr>
        <w:t>.</w:t>
      </w:r>
    </w:p>
    <w:p w:rsidR="00FF1EA8" w:rsidRDefault="00FF1EA8" w:rsidP="00FF1EA8">
      <w:pPr>
        <w:pStyle w:val="ListeParagraf"/>
        <w:numPr>
          <w:ilvl w:val="0"/>
          <w:numId w:val="6"/>
        </w:num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Tarafların arabuluculuk faaliyeti sonunda </w:t>
      </w:r>
      <w:r>
        <w:rPr>
          <w:rFonts w:ascii="Times New Roman" w:hAnsi="Times New Roman"/>
          <w:sz w:val="24"/>
          <w:szCs w:val="24"/>
          <w:u w:val="single"/>
        </w:rPr>
        <w:t>anlaşmaları durumunda ise,</w:t>
      </w:r>
      <w:r>
        <w:rPr>
          <w:rFonts w:ascii="Times New Roman" w:hAnsi="Times New Roman"/>
          <w:sz w:val="24"/>
          <w:szCs w:val="24"/>
        </w:rPr>
        <w:t xml:space="preserve"> arabuluculuk ücreti, aksi kararlaştırılmamışsa </w:t>
      </w:r>
      <w:r>
        <w:rPr>
          <w:rFonts w:ascii="Times New Roman" w:hAnsi="Times New Roman"/>
          <w:sz w:val="24"/>
          <w:szCs w:val="24"/>
          <w:u w:val="single"/>
        </w:rPr>
        <w:t>taraflarca eşit olarak karşılanır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6A35" w:rsidRDefault="00EA6A35"/>
    <w:sectPr w:rsidR="00EA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5C9"/>
    <w:multiLevelType w:val="hybridMultilevel"/>
    <w:tmpl w:val="7702108C"/>
    <w:lvl w:ilvl="0" w:tplc="384640A0">
      <w:start w:val="19"/>
      <w:numFmt w:val="bullet"/>
      <w:lvlText w:val=""/>
      <w:lvlJc w:val="left"/>
      <w:pPr>
        <w:ind w:left="556" w:hanging="360"/>
      </w:pPr>
      <w:rPr>
        <w:rFonts w:ascii="Symbol" w:eastAsia="Calibri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F603592"/>
    <w:multiLevelType w:val="hybridMultilevel"/>
    <w:tmpl w:val="1F2E7B9E"/>
    <w:lvl w:ilvl="0" w:tplc="BFD4CF4C">
      <w:start w:val="1"/>
      <w:numFmt w:val="lowerRoman"/>
      <w:lvlText w:val="(%1)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A179D"/>
    <w:multiLevelType w:val="hybridMultilevel"/>
    <w:tmpl w:val="709CB26A"/>
    <w:lvl w:ilvl="0" w:tplc="67B61F2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781"/>
    <w:multiLevelType w:val="hybridMultilevel"/>
    <w:tmpl w:val="CFD0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1853"/>
    <w:multiLevelType w:val="hybridMultilevel"/>
    <w:tmpl w:val="D8F83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3E4F"/>
    <w:multiLevelType w:val="hybridMultilevel"/>
    <w:tmpl w:val="BC521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8"/>
    <w:rsid w:val="00EA6A35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AEA5-1030-4113-A23A-63FFCC6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A8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Seyrek</dc:creator>
  <cp:keywords/>
  <dc:description/>
  <cp:lastModifiedBy>Betül Seyrek</cp:lastModifiedBy>
  <cp:revision>1</cp:revision>
  <dcterms:created xsi:type="dcterms:W3CDTF">2018-12-24T06:29:00Z</dcterms:created>
  <dcterms:modified xsi:type="dcterms:W3CDTF">2018-12-24T06:30:00Z</dcterms:modified>
</cp:coreProperties>
</file>